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r w:rsidRPr="00CD75A4">
        <w:rPr>
          <w:rFonts w:ascii="Times New Roman" w:hAnsi="Times New Roman" w:cs="Times New Roman"/>
          <w:b/>
          <w:bCs/>
          <w:sz w:val="32"/>
          <w:szCs w:val="32"/>
        </w:rPr>
        <w:t>V E Ř E J N O P R Á V N Í   S M L O U V A</w:t>
      </w:r>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p>
    <w:p w:rsidR="00477081" w:rsidRPr="0089012B" w:rsidRDefault="00477081" w:rsidP="00727962">
      <w:pPr>
        <w:pStyle w:val="NormlnsWWW"/>
        <w:tabs>
          <w:tab w:val="left" w:pos="3600"/>
        </w:tabs>
        <w:spacing w:before="0" w:beforeAutospacing="0" w:after="0" w:afterAutospacing="0"/>
        <w:jc w:val="center"/>
        <w:rPr>
          <w:rFonts w:ascii="Times New Roman" w:hAnsi="Times New Roman" w:cs="Times New Roman"/>
          <w:b/>
          <w:sz w:val="22"/>
          <w:szCs w:val="22"/>
        </w:rPr>
      </w:pPr>
      <w:r w:rsidRPr="0089012B">
        <w:rPr>
          <w:rFonts w:ascii="Times New Roman" w:hAnsi="Times New Roman" w:cs="Times New Roman"/>
          <w:b/>
          <w:sz w:val="22"/>
          <w:szCs w:val="22"/>
        </w:rPr>
        <w:t>č.20</w:t>
      </w:r>
      <w:r w:rsidR="0050389F">
        <w:rPr>
          <w:rFonts w:ascii="Times New Roman" w:hAnsi="Times New Roman" w:cs="Times New Roman"/>
          <w:b/>
          <w:sz w:val="22"/>
          <w:szCs w:val="22"/>
        </w:rPr>
        <w:t>2</w:t>
      </w:r>
      <w:r w:rsidR="00A91666">
        <w:rPr>
          <w:rFonts w:ascii="Times New Roman" w:hAnsi="Times New Roman" w:cs="Times New Roman"/>
          <w:b/>
          <w:sz w:val="22"/>
          <w:szCs w:val="22"/>
        </w:rPr>
        <w:t>1</w:t>
      </w:r>
      <w:r w:rsidRPr="0089012B">
        <w:rPr>
          <w:rFonts w:ascii="Times New Roman" w:hAnsi="Times New Roman" w:cs="Times New Roman"/>
          <w:b/>
          <w:sz w:val="22"/>
          <w:szCs w:val="22"/>
        </w:rPr>
        <w:t>-</w:t>
      </w:r>
      <w:r w:rsidR="00FC497C">
        <w:rPr>
          <w:rFonts w:ascii="Times New Roman" w:hAnsi="Times New Roman" w:cs="Times New Roman"/>
          <w:b/>
          <w:sz w:val="22"/>
          <w:szCs w:val="22"/>
        </w:rPr>
        <w:t>0068</w:t>
      </w:r>
      <w:r w:rsidR="007B48E1">
        <w:rPr>
          <w:rFonts w:ascii="Times New Roman" w:hAnsi="Times New Roman" w:cs="Times New Roman"/>
          <w:b/>
          <w:sz w:val="22"/>
          <w:szCs w:val="22"/>
        </w:rPr>
        <w:t>/</w:t>
      </w:r>
      <w:r w:rsidR="0089012B" w:rsidRPr="0089012B">
        <w:rPr>
          <w:rFonts w:ascii="Times New Roman" w:hAnsi="Times New Roman" w:cs="Times New Roman"/>
          <w:b/>
          <w:sz w:val="22"/>
          <w:szCs w:val="22"/>
        </w:rPr>
        <w:t>ŠSK</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 Česká spořitelna</w:t>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27-0504268369/0800</w:t>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945D93" w:rsidRPr="003D5940" w:rsidRDefault="0050389F" w:rsidP="00727962">
      <w:pPr>
        <w:pStyle w:val="NormlnsWWW"/>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OS HIPPODROM z.s.</w:t>
      </w:r>
    </w:p>
    <w:p w:rsidR="00727962" w:rsidRPr="003D5940" w:rsidRDefault="00727962" w:rsidP="002669A8">
      <w:pPr>
        <w:spacing w:after="0"/>
        <w:jc w:val="both"/>
        <w:rPr>
          <w:rFonts w:ascii="Times New Roman" w:hAnsi="Times New Roman" w:cs="Times New Roman"/>
        </w:rPr>
      </w:pPr>
      <w:r w:rsidRPr="003D5940">
        <w:rPr>
          <w:rFonts w:ascii="Times New Roman" w:hAnsi="Times New Roman" w:cs="Times New Roman"/>
        </w:rPr>
        <w:t>sídlo:</w:t>
      </w:r>
      <w:r w:rsidR="002669A8">
        <w:rPr>
          <w:rFonts w:ascii="Times New Roman" w:hAnsi="Times New Roman" w:cs="Times New Roman"/>
        </w:rPr>
        <w:t xml:space="preserve"> </w:t>
      </w:r>
      <w:r w:rsidR="0050389F">
        <w:rPr>
          <w:rFonts w:ascii="Times New Roman" w:hAnsi="Times New Roman" w:cs="Times New Roman"/>
        </w:rPr>
        <w:t>Ke Karlovu 2003</w:t>
      </w:r>
      <w:r w:rsidR="002669A8">
        <w:rPr>
          <w:rFonts w:ascii="Times New Roman" w:hAnsi="Times New Roman" w:cs="Times New Roman"/>
        </w:rPr>
        <w:t xml:space="preserve">, </w:t>
      </w:r>
      <w:r w:rsidR="0050389F">
        <w:rPr>
          <w:rFonts w:ascii="Times New Roman" w:hAnsi="Times New Roman" w:cs="Times New Roman"/>
        </w:rPr>
        <w:t xml:space="preserve">289 22 Lysá nad Labem </w:t>
      </w:r>
    </w:p>
    <w:p w:rsidR="007F64E5"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w:t>
      </w:r>
      <w:r w:rsidR="002669A8">
        <w:rPr>
          <w:rFonts w:ascii="Times New Roman" w:hAnsi="Times New Roman" w:cs="Times New Roman"/>
          <w:sz w:val="22"/>
          <w:szCs w:val="22"/>
        </w:rPr>
        <w:t xml:space="preserve"> </w:t>
      </w:r>
      <w:r w:rsidR="0050389F">
        <w:rPr>
          <w:rFonts w:ascii="Times New Roman" w:hAnsi="Times New Roman" w:cs="Times New Roman"/>
          <w:sz w:val="22"/>
          <w:szCs w:val="22"/>
        </w:rPr>
        <w:t>27030199</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Registrace ve veřejném rejstříku:</w:t>
      </w:r>
      <w:r w:rsidR="0050389F">
        <w:rPr>
          <w:rFonts w:ascii="Times New Roman" w:hAnsi="Times New Roman" w:cs="Times New Roman"/>
          <w:sz w:val="22"/>
          <w:szCs w:val="22"/>
        </w:rPr>
        <w:t xml:space="preserve"> L 16627 vedená u Městského soudu v Praze</w:t>
      </w:r>
    </w:p>
    <w:p w:rsidR="007F64E5" w:rsidRDefault="007F64E5" w:rsidP="00727962">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Zastoupený: Janem </w:t>
      </w:r>
      <w:proofErr w:type="spellStart"/>
      <w:r>
        <w:rPr>
          <w:rFonts w:ascii="Times New Roman" w:hAnsi="Times New Roman" w:cs="Times New Roman"/>
          <w:sz w:val="22"/>
          <w:szCs w:val="22"/>
        </w:rPr>
        <w:t>Palyzou</w:t>
      </w:r>
      <w:proofErr w:type="spellEnd"/>
      <w:r>
        <w:rPr>
          <w:rFonts w:ascii="Times New Roman" w:hAnsi="Times New Roman" w:cs="Times New Roman"/>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w:t>
      </w:r>
      <w:r w:rsidR="002669A8">
        <w:rPr>
          <w:rFonts w:ascii="Times New Roman" w:hAnsi="Times New Roman" w:cs="Times New Roman"/>
          <w:sz w:val="22"/>
          <w:szCs w:val="22"/>
        </w:rPr>
        <w:t xml:space="preserve"> </w:t>
      </w:r>
      <w:r w:rsidR="007922DD">
        <w:rPr>
          <w:rFonts w:ascii="Times New Roman" w:hAnsi="Times New Roman" w:cs="Times New Roman"/>
          <w:sz w:val="22"/>
          <w:szCs w:val="22"/>
        </w:rPr>
        <w:t>XXXXXXXXXXX</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w:t>
      </w:r>
      <w:r w:rsidR="007922DD">
        <w:rPr>
          <w:rFonts w:ascii="Times New Roman" w:hAnsi="Times New Roman" w:cs="Times New Roman"/>
          <w:sz w:val="22"/>
          <w:szCs w:val="22"/>
        </w:rPr>
        <w:t>XXXXXXXXXXXXXX</w:t>
      </w:r>
    </w:p>
    <w:p w:rsidR="00727962" w:rsidRPr="003D5940" w:rsidRDefault="00727962" w:rsidP="00727962">
      <w:pPr>
        <w:pStyle w:val="Bezmezer"/>
        <w:rPr>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Pr="003D5940" w:rsidRDefault="00727962" w:rsidP="00727962">
      <w:pPr>
        <w:pStyle w:val="Default"/>
        <w:spacing w:after="27"/>
        <w:jc w:val="both"/>
        <w:rPr>
          <w:color w:val="auto"/>
          <w:sz w:val="22"/>
          <w:szCs w:val="22"/>
        </w:rPr>
      </w:pPr>
      <w:r w:rsidRPr="003D5940">
        <w:rPr>
          <w:color w:val="auto"/>
          <w:sz w:val="22"/>
          <w:szCs w:val="22"/>
        </w:rPr>
        <w:t xml:space="preserve">1. Předmětem této smlouvy je poskytnutí </w:t>
      </w:r>
      <w:r w:rsidRPr="003D5940">
        <w:rPr>
          <w:bCs/>
          <w:color w:val="auto"/>
          <w:sz w:val="22"/>
          <w:szCs w:val="22"/>
        </w:rPr>
        <w:t>neinvestiční</w:t>
      </w:r>
      <w:r w:rsidRPr="003D5940">
        <w:rPr>
          <w:b/>
          <w:bCs/>
          <w:color w:val="auto"/>
          <w:sz w:val="22"/>
          <w:szCs w:val="22"/>
        </w:rPr>
        <w:t xml:space="preserve"> </w:t>
      </w:r>
      <w:r w:rsidRPr="003D5940">
        <w:rPr>
          <w:color w:val="auto"/>
          <w:sz w:val="22"/>
          <w:szCs w:val="22"/>
        </w:rPr>
        <w:t xml:space="preserve">finanční podpory z rozpočtu města Lysá nad Labem ve formě dotace </w:t>
      </w:r>
      <w:r w:rsidR="00580710">
        <w:rPr>
          <w:b/>
          <w:color w:val="auto"/>
          <w:sz w:val="22"/>
          <w:szCs w:val="22"/>
        </w:rPr>
        <w:t>ve výši 1</w:t>
      </w:r>
      <w:r w:rsidR="00B00114">
        <w:rPr>
          <w:b/>
          <w:color w:val="auto"/>
          <w:sz w:val="22"/>
          <w:szCs w:val="22"/>
        </w:rPr>
        <w:t>35</w:t>
      </w:r>
      <w:r w:rsidR="00580710" w:rsidRPr="005033A0">
        <w:rPr>
          <w:b/>
          <w:color w:val="auto"/>
          <w:sz w:val="22"/>
          <w:szCs w:val="22"/>
        </w:rPr>
        <w:t> 000 Kč</w:t>
      </w:r>
      <w:r w:rsidR="00580710">
        <w:rPr>
          <w:color w:val="auto"/>
          <w:sz w:val="22"/>
          <w:szCs w:val="22"/>
        </w:rPr>
        <w:t xml:space="preserve"> </w:t>
      </w:r>
      <w:r w:rsidRPr="003D5940">
        <w:rPr>
          <w:color w:val="auto"/>
          <w:sz w:val="22"/>
          <w:szCs w:val="22"/>
        </w:rPr>
        <w:t xml:space="preserve">(dále jen </w:t>
      </w:r>
      <w:r w:rsidRPr="003D5940">
        <w:rPr>
          <w:b/>
          <w:bCs/>
          <w:color w:val="auto"/>
          <w:sz w:val="22"/>
          <w:szCs w:val="22"/>
        </w:rPr>
        <w:t>„dotace“</w:t>
      </w:r>
      <w:r w:rsidRPr="003D5940">
        <w:rPr>
          <w:color w:val="auto"/>
          <w:sz w:val="22"/>
          <w:szCs w:val="22"/>
        </w:rPr>
        <w:t xml:space="preserve">) na </w:t>
      </w:r>
      <w:r w:rsidR="00B00114">
        <w:rPr>
          <w:color w:val="auto"/>
          <w:sz w:val="22"/>
          <w:szCs w:val="22"/>
        </w:rPr>
        <w:t>činnost OS H</w:t>
      </w:r>
      <w:r w:rsidR="008D3AFD">
        <w:rPr>
          <w:color w:val="auto"/>
          <w:sz w:val="22"/>
          <w:szCs w:val="22"/>
        </w:rPr>
        <w:t>IPPODROM</w:t>
      </w:r>
      <w:r w:rsidR="002669A8">
        <w:rPr>
          <w:color w:val="auto"/>
          <w:sz w:val="22"/>
          <w:szCs w:val="22"/>
        </w:rPr>
        <w:t xml:space="preserve"> </w:t>
      </w:r>
      <w:r w:rsidR="00B00114">
        <w:rPr>
          <w:color w:val="auto"/>
          <w:sz w:val="22"/>
          <w:szCs w:val="22"/>
        </w:rPr>
        <w:t>v roce 202</w:t>
      </w:r>
      <w:r w:rsidR="00A91666">
        <w:rPr>
          <w:color w:val="auto"/>
          <w:sz w:val="22"/>
          <w:szCs w:val="22"/>
        </w:rPr>
        <w:t>1</w:t>
      </w:r>
      <w:r w:rsidR="00B00114">
        <w:rPr>
          <w:color w:val="auto"/>
          <w:sz w:val="22"/>
          <w:szCs w:val="22"/>
        </w:rPr>
        <w:t xml:space="preserve"> </w:t>
      </w:r>
      <w:r w:rsidR="002669A8">
        <w:rPr>
          <w:color w:val="auto"/>
          <w:sz w:val="22"/>
          <w:szCs w:val="22"/>
        </w:rPr>
        <w:t xml:space="preserve">a </w:t>
      </w:r>
      <w:r w:rsidR="00B00114">
        <w:rPr>
          <w:b/>
          <w:color w:val="auto"/>
          <w:sz w:val="22"/>
          <w:szCs w:val="22"/>
        </w:rPr>
        <w:t>ve výši 150</w:t>
      </w:r>
      <w:r w:rsidR="00580710" w:rsidRPr="005033A0">
        <w:rPr>
          <w:b/>
          <w:color w:val="auto"/>
          <w:sz w:val="22"/>
          <w:szCs w:val="22"/>
        </w:rPr>
        <w:t> 000 Kč</w:t>
      </w:r>
      <w:r w:rsidR="00580710">
        <w:rPr>
          <w:color w:val="auto"/>
          <w:sz w:val="22"/>
          <w:szCs w:val="22"/>
        </w:rPr>
        <w:t xml:space="preserve"> </w:t>
      </w:r>
      <w:r w:rsidR="002669A8">
        <w:rPr>
          <w:color w:val="auto"/>
          <w:sz w:val="22"/>
          <w:szCs w:val="22"/>
        </w:rPr>
        <w:t xml:space="preserve">na </w:t>
      </w:r>
      <w:r w:rsidR="00B00114">
        <w:rPr>
          <w:color w:val="auto"/>
          <w:sz w:val="22"/>
          <w:szCs w:val="22"/>
        </w:rPr>
        <w:t>prvomájový dostih cen</w:t>
      </w:r>
      <w:r w:rsidR="007E1DC7">
        <w:rPr>
          <w:color w:val="auto"/>
          <w:sz w:val="22"/>
          <w:szCs w:val="22"/>
        </w:rPr>
        <w:t>y</w:t>
      </w:r>
      <w:r w:rsidR="00B00114">
        <w:rPr>
          <w:color w:val="auto"/>
          <w:sz w:val="22"/>
          <w:szCs w:val="22"/>
        </w:rPr>
        <w:t xml:space="preserve"> města pořádaný </w:t>
      </w:r>
      <w:r w:rsidR="008D3AFD">
        <w:rPr>
          <w:color w:val="auto"/>
          <w:sz w:val="22"/>
          <w:szCs w:val="22"/>
        </w:rPr>
        <w:t>v průběhu roku</w:t>
      </w:r>
      <w:r w:rsidR="00A91666">
        <w:rPr>
          <w:color w:val="auto"/>
          <w:sz w:val="22"/>
          <w:szCs w:val="22"/>
        </w:rPr>
        <w:t xml:space="preserve"> 2021</w:t>
      </w:r>
      <w:r w:rsidR="00B00114">
        <w:rPr>
          <w:color w:val="auto"/>
          <w:sz w:val="22"/>
          <w:szCs w:val="22"/>
        </w:rPr>
        <w:t xml:space="preserve"> </w:t>
      </w:r>
      <w:r w:rsidRPr="003D5940">
        <w:rPr>
          <w:color w:val="auto"/>
          <w:sz w:val="22"/>
          <w:szCs w:val="22"/>
        </w:rPr>
        <w:t xml:space="preserve">(dále jen </w:t>
      </w:r>
      <w:r w:rsidR="00945D93" w:rsidRPr="003D5940">
        <w:rPr>
          <w:color w:val="auto"/>
          <w:sz w:val="22"/>
          <w:szCs w:val="22"/>
        </w:rPr>
        <w:t>„</w:t>
      </w:r>
      <w:r w:rsidRPr="003D5940">
        <w:rPr>
          <w:color w:val="auto"/>
          <w:sz w:val="22"/>
          <w:szCs w:val="22"/>
        </w:rPr>
        <w:t>Akce</w:t>
      </w:r>
      <w:r w:rsidR="00945D93" w:rsidRPr="003D5940">
        <w:rPr>
          <w:color w:val="auto"/>
          <w:sz w:val="22"/>
          <w:szCs w:val="22"/>
        </w:rPr>
        <w:t>“</w:t>
      </w:r>
      <w:r w:rsidRPr="003D5940">
        <w:rPr>
          <w:color w:val="auto"/>
          <w:sz w:val="22"/>
          <w:szCs w:val="22"/>
        </w:rPr>
        <w:t xml:space="preserve"> nebo </w:t>
      </w:r>
      <w:r w:rsidR="00945D93" w:rsidRPr="003D5940">
        <w:rPr>
          <w:color w:val="auto"/>
          <w:sz w:val="22"/>
          <w:szCs w:val="22"/>
        </w:rPr>
        <w:t>„</w:t>
      </w:r>
      <w:r w:rsidRPr="003D5940">
        <w:rPr>
          <w:color w:val="auto"/>
          <w:sz w:val="22"/>
          <w:szCs w:val="22"/>
        </w:rPr>
        <w:t>Činnost</w:t>
      </w:r>
      <w:r w:rsidR="00945D93" w:rsidRPr="003D5940">
        <w:rPr>
          <w:color w:val="auto"/>
          <w:sz w:val="22"/>
          <w:szCs w:val="22"/>
        </w:rPr>
        <w:t>“</w:t>
      </w:r>
      <w:r w:rsidRPr="003D5940">
        <w:rPr>
          <w:color w:val="auto"/>
          <w:sz w:val="22"/>
          <w:szCs w:val="22"/>
        </w:rPr>
        <w:t xml:space="preserve">), na základě schválené žádosti. </w:t>
      </w:r>
    </w:p>
    <w:p w:rsidR="00727962" w:rsidRPr="003D5940" w:rsidRDefault="00727962" w:rsidP="00727962">
      <w:pPr>
        <w:pStyle w:val="Default"/>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3. Příjemce dotaci přijímá a zavazuje se, že bude Akci / Činnost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580710" w:rsidP="00580710">
      <w:pPr>
        <w:pStyle w:val="Zkladntext"/>
        <w:rPr>
          <w:sz w:val="22"/>
          <w:szCs w:val="22"/>
        </w:rPr>
      </w:pPr>
      <w:r>
        <w:rPr>
          <w:sz w:val="22"/>
          <w:szCs w:val="22"/>
        </w:rPr>
        <w:t xml:space="preserve">Dotace </w:t>
      </w:r>
      <w:r w:rsidR="00B00114">
        <w:rPr>
          <w:sz w:val="22"/>
          <w:szCs w:val="22"/>
        </w:rPr>
        <w:t>ve výši</w:t>
      </w:r>
      <w:r w:rsidR="00B00114" w:rsidRPr="001201C3">
        <w:t xml:space="preserve"> </w:t>
      </w:r>
      <w:r w:rsidR="00B00114">
        <w:t>2</w:t>
      </w:r>
      <w:r w:rsidR="00266B7F">
        <w:t>8</w:t>
      </w:r>
      <w:r w:rsidR="00B00114">
        <w:t>5</w:t>
      </w:r>
      <w:r w:rsidR="00B00114" w:rsidRPr="001201C3">
        <w:t xml:space="preserve"> 000 Kč </w:t>
      </w:r>
      <w:r>
        <w:rPr>
          <w:sz w:val="22"/>
          <w:szCs w:val="22"/>
        </w:rPr>
        <w:t xml:space="preserve">bude příjemci převedena </w:t>
      </w:r>
      <w:r w:rsidRPr="001201C3">
        <w:t xml:space="preserve">na účet žadatele jednorázově </w:t>
      </w:r>
      <w:r w:rsidR="00B00114">
        <w:t>do 30 dnů od podepsání smlouvy</w:t>
      </w:r>
      <w:r w:rsidR="00727962" w:rsidRPr="003D5940">
        <w:rPr>
          <w:sz w:val="22"/>
          <w:szCs w:val="22"/>
        </w:rPr>
        <w:t xml:space="preserve"> a to formou bezhotovostního převodu </w:t>
      </w:r>
      <w:r w:rsidR="00727962" w:rsidRPr="003D5940">
        <w:rPr>
          <w:b/>
          <w:bCs/>
          <w:sz w:val="22"/>
          <w:szCs w:val="22"/>
        </w:rPr>
        <w:t>na jeho bankovní účet</w:t>
      </w:r>
      <w:r w:rsidR="00727962"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00727962"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580710">
        <w:rPr>
          <w:color w:val="auto"/>
          <w:sz w:val="22"/>
          <w:szCs w:val="22"/>
        </w:rPr>
        <w:t>vy a vyčerpat je nejpozději do 31.12.202</w:t>
      </w:r>
      <w:r w:rsidR="00A91666">
        <w:rPr>
          <w:color w:val="auto"/>
          <w:sz w:val="22"/>
          <w:szCs w:val="22"/>
        </w:rPr>
        <w:t>1</w:t>
      </w:r>
      <w:r w:rsidR="00727962" w:rsidRPr="003D5940">
        <w:rPr>
          <w:color w:val="auto"/>
          <w:sz w:val="22"/>
          <w:szCs w:val="22"/>
        </w:rPr>
        <w:t xml:space="preserve">.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nejpozději do </w:t>
      </w:r>
      <w:r w:rsidR="007E1DC7">
        <w:rPr>
          <w:color w:val="auto"/>
          <w:sz w:val="22"/>
          <w:szCs w:val="22"/>
        </w:rPr>
        <w:t>15</w:t>
      </w:r>
      <w:r w:rsidR="00580710">
        <w:rPr>
          <w:color w:val="auto"/>
          <w:sz w:val="22"/>
          <w:szCs w:val="22"/>
        </w:rPr>
        <w:t>.1.202</w:t>
      </w:r>
      <w:r w:rsidR="00A91666">
        <w:rPr>
          <w:color w:val="auto"/>
          <w:sz w:val="22"/>
          <w:szCs w:val="22"/>
        </w:rPr>
        <w:t>2</w:t>
      </w:r>
      <w:r w:rsidR="00580710">
        <w:rPr>
          <w:color w:val="auto"/>
          <w:sz w:val="22"/>
          <w:szCs w:val="22"/>
        </w:rPr>
        <w:t>.</w:t>
      </w:r>
      <w:r w:rsidR="00727962" w:rsidRPr="003D5940">
        <w:rPr>
          <w:color w:val="auto"/>
          <w:sz w:val="22"/>
          <w:szCs w:val="22"/>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 xml:space="preserve">Je-li příjemce plátcem daně z přidané hodnoty, a pokud má u zdanitelných plnění přijatých v souvislosti s financováním daného projektu nárok na uplatnění odpočtu daně z přidané hodnoty v plné </w:t>
      </w:r>
      <w:r w:rsidR="00727962" w:rsidRPr="003D5940">
        <w:rPr>
          <w:color w:val="auto"/>
          <w:sz w:val="22"/>
          <w:szCs w:val="22"/>
        </w:rPr>
        <w:lastRenderedPageBreak/>
        <w:t>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V souladu se zákonem č. 320/2001 Sb., o finanční kontrole ve veřejné správě a o změně některých </w:t>
      </w:r>
    </w:p>
    <w:p w:rsidR="00727962" w:rsidRPr="003D5940" w:rsidRDefault="00727962" w:rsidP="007D082E">
      <w:pPr>
        <w:pStyle w:val="Default"/>
        <w:jc w:val="both"/>
        <w:rPr>
          <w:color w:val="auto"/>
          <w:sz w:val="22"/>
          <w:szCs w:val="22"/>
        </w:rPr>
      </w:pPr>
      <w:r w:rsidRPr="003D5940">
        <w:rPr>
          <w:color w:val="auto"/>
          <w:sz w:val="22"/>
          <w:szCs w:val="22"/>
        </w:rPr>
        <w:t>zákonů (zákon o finanční kontrole), ve znění pozdějších předpisů</w:t>
      </w:r>
      <w:r w:rsidR="007D082E" w:rsidRPr="003D5940">
        <w:rPr>
          <w:color w:val="auto"/>
          <w:sz w:val="22"/>
          <w:szCs w:val="22"/>
        </w:rPr>
        <w:t>,</w:t>
      </w:r>
      <w:r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2A76E4" w:rsidP="002A76E4">
      <w:pPr>
        <w:pStyle w:val="Default"/>
        <w:jc w:val="both"/>
        <w:rPr>
          <w:color w:val="auto"/>
          <w:sz w:val="22"/>
          <w:szCs w:val="22"/>
        </w:rPr>
      </w:pPr>
      <w:r w:rsidRPr="003D5940">
        <w:rPr>
          <w:color w:val="auto"/>
          <w:sz w:val="22"/>
          <w:szCs w:val="22"/>
        </w:rPr>
        <w:lastRenderedPageBreak/>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27962" w:rsidRPr="003D5940" w:rsidRDefault="00727962" w:rsidP="002A76E4">
      <w:pPr>
        <w:pStyle w:val="Default"/>
        <w:jc w:val="both"/>
        <w:rPr>
          <w:color w:val="auto"/>
          <w:sz w:val="22"/>
          <w:szCs w:val="22"/>
        </w:rPr>
      </w:pPr>
    </w:p>
    <w:p w:rsidR="006968E9"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6968E9">
        <w:rPr>
          <w:color w:val="auto"/>
          <w:sz w:val="22"/>
          <w:szCs w:val="22"/>
        </w:rPr>
        <w:t xml:space="preserve"> Účinnosti nabývá zveřejněním v registru smluv dle zákona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6968E9" w:rsidRDefault="006968E9" w:rsidP="002A76E4">
      <w:pPr>
        <w:pStyle w:val="Default"/>
        <w:jc w:val="both"/>
        <w:rPr>
          <w:color w:val="auto"/>
          <w:sz w:val="22"/>
          <w:szCs w:val="22"/>
        </w:rPr>
      </w:pPr>
    </w:p>
    <w:p w:rsidR="006968E9" w:rsidRPr="003D5940" w:rsidRDefault="006968E9" w:rsidP="002A76E4">
      <w:pPr>
        <w:pStyle w:val="Default"/>
        <w:jc w:val="both"/>
        <w:rPr>
          <w:color w:val="auto"/>
          <w:sz w:val="22"/>
          <w:szCs w:val="22"/>
        </w:rPr>
      </w:pPr>
      <w:r>
        <w:rPr>
          <w:color w:val="auto"/>
          <w:sz w:val="22"/>
          <w:szCs w:val="22"/>
        </w:rPr>
        <w:t xml:space="preserve">7. </w:t>
      </w:r>
      <w:r w:rsidRPr="003A370F">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6968E9"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w:t>
      </w:r>
      <w:r w:rsidR="00727962" w:rsidRPr="00477081">
        <w:rPr>
          <w:color w:val="auto"/>
          <w:sz w:val="22"/>
          <w:szCs w:val="22"/>
        </w:rPr>
        <w:t>smlouvy rozhodl</w:t>
      </w:r>
      <w:r w:rsidR="00580710" w:rsidRPr="00477081">
        <w:rPr>
          <w:color w:val="auto"/>
          <w:sz w:val="22"/>
          <w:szCs w:val="22"/>
        </w:rPr>
        <w:t>o</w:t>
      </w:r>
      <w:r w:rsidR="00727962" w:rsidRPr="00477081">
        <w:rPr>
          <w:color w:val="auto"/>
          <w:sz w:val="22"/>
          <w:szCs w:val="22"/>
        </w:rPr>
        <w:t xml:space="preserve"> </w:t>
      </w:r>
      <w:r w:rsidR="002A76E4" w:rsidRPr="00477081">
        <w:rPr>
          <w:color w:val="auto"/>
          <w:sz w:val="22"/>
          <w:szCs w:val="22"/>
        </w:rPr>
        <w:t>zastupitelstvo města Lysá nad Labem</w:t>
      </w:r>
      <w:r w:rsidR="00727962" w:rsidRPr="003D5940">
        <w:rPr>
          <w:color w:val="auto"/>
          <w:sz w:val="22"/>
          <w:szCs w:val="22"/>
        </w:rPr>
        <w:t xml:space="preserve"> usnesením č. </w:t>
      </w:r>
      <w:r w:rsidR="00FC497C">
        <w:rPr>
          <w:color w:val="auto"/>
          <w:sz w:val="22"/>
          <w:szCs w:val="22"/>
        </w:rPr>
        <w:t>10</w:t>
      </w:r>
      <w:r w:rsidR="00727962" w:rsidRPr="003D5940">
        <w:rPr>
          <w:color w:val="auto"/>
          <w:sz w:val="22"/>
          <w:szCs w:val="22"/>
        </w:rPr>
        <w:t xml:space="preserve"> ze dne </w:t>
      </w:r>
      <w:r w:rsidR="00FC497C">
        <w:rPr>
          <w:color w:val="auto"/>
          <w:sz w:val="22"/>
          <w:szCs w:val="22"/>
        </w:rPr>
        <w:t>17.2.2021</w:t>
      </w:r>
      <w:r w:rsidR="007B48E1">
        <w:rPr>
          <w:color w:val="auto"/>
          <w:sz w:val="22"/>
          <w:szCs w:val="22"/>
        </w:rPr>
        <w:t>.</w:t>
      </w:r>
    </w:p>
    <w:p w:rsidR="00727962" w:rsidRDefault="00727962" w:rsidP="002A76E4">
      <w:pPr>
        <w:pStyle w:val="Default"/>
        <w:jc w:val="both"/>
        <w:rPr>
          <w:color w:val="auto"/>
          <w:sz w:val="22"/>
          <w:szCs w:val="22"/>
        </w:rPr>
      </w:pPr>
    </w:p>
    <w:p w:rsidR="009851CF" w:rsidRDefault="009851CF" w:rsidP="002A76E4">
      <w:pPr>
        <w:pStyle w:val="Default"/>
        <w:jc w:val="both"/>
        <w:rPr>
          <w:color w:val="auto"/>
          <w:sz w:val="22"/>
          <w:szCs w:val="22"/>
        </w:rPr>
      </w:pPr>
      <w:r>
        <w:rPr>
          <w:color w:val="auto"/>
          <w:sz w:val="22"/>
          <w:szCs w:val="22"/>
        </w:rPr>
        <w:t>V Lysé nad Labem dne 23.2.2021</w:t>
      </w:r>
      <w:r>
        <w:rPr>
          <w:color w:val="auto"/>
          <w:sz w:val="22"/>
          <w:szCs w:val="22"/>
        </w:rPr>
        <w:tab/>
      </w:r>
      <w:r>
        <w:rPr>
          <w:color w:val="auto"/>
          <w:sz w:val="22"/>
          <w:szCs w:val="22"/>
        </w:rPr>
        <w:tab/>
      </w:r>
      <w:r>
        <w:rPr>
          <w:color w:val="auto"/>
          <w:sz w:val="22"/>
          <w:szCs w:val="22"/>
        </w:rPr>
        <w:tab/>
        <w:t>V Lysé nad Labem dne 24.2.2021</w:t>
      </w:r>
      <w:bookmarkStart w:id="0" w:name="_GoBack"/>
      <w:bookmarkEnd w:id="0"/>
    </w:p>
    <w:p w:rsidR="003A370F" w:rsidRDefault="003A370F" w:rsidP="002A76E4">
      <w:pPr>
        <w:pStyle w:val="Default"/>
        <w:jc w:val="both"/>
        <w:rPr>
          <w:color w:val="auto"/>
          <w:sz w:val="22"/>
          <w:szCs w:val="22"/>
        </w:rPr>
      </w:pPr>
    </w:p>
    <w:p w:rsidR="003A370F" w:rsidRDefault="003A370F" w:rsidP="002A76E4">
      <w:pPr>
        <w:pStyle w:val="Default"/>
        <w:jc w:val="both"/>
        <w:rPr>
          <w:color w:val="auto"/>
          <w:sz w:val="22"/>
          <w:szCs w:val="22"/>
        </w:rPr>
      </w:pPr>
    </w:p>
    <w:p w:rsidR="003A370F" w:rsidRPr="003D5940" w:rsidRDefault="003A370F"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945D93" w:rsidRPr="003D5940" w:rsidRDefault="007E1DC7" w:rsidP="00BA4B17">
            <w:pPr>
              <w:pStyle w:val="NormlnsWWW"/>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Jan Palyza</w:t>
            </w:r>
          </w:p>
          <w:p w:rsidR="00FC497C" w:rsidRPr="00FC497C" w:rsidRDefault="00FC497C" w:rsidP="00FC497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 xml:space="preserve">                    </w:t>
            </w:r>
            <w:r w:rsidRPr="00FC497C">
              <w:rPr>
                <w:rFonts w:ascii="Times New Roman" w:hAnsi="Times New Roman" w:cs="Times New Roman"/>
                <w:sz w:val="22"/>
                <w:szCs w:val="22"/>
              </w:rPr>
              <w:t>OS HIPPODROM z.s.</w:t>
            </w: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727962" w:rsidRPr="003D5940" w:rsidRDefault="00727962" w:rsidP="003A370F"/>
    <w:sectPr w:rsidR="00727962"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8D" w:rsidRDefault="004D058D" w:rsidP="00727962">
      <w:pPr>
        <w:spacing w:after="0" w:line="240" w:lineRule="auto"/>
      </w:pPr>
      <w:r>
        <w:separator/>
      </w:r>
    </w:p>
  </w:endnote>
  <w:endnote w:type="continuationSeparator" w:id="0">
    <w:p w:rsidR="004D058D" w:rsidRDefault="004D058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8D" w:rsidRDefault="004D058D" w:rsidP="00727962">
      <w:pPr>
        <w:spacing w:after="0" w:line="240" w:lineRule="auto"/>
      </w:pPr>
      <w:r>
        <w:separator/>
      </w:r>
    </w:p>
  </w:footnote>
  <w:footnote w:type="continuationSeparator" w:id="0">
    <w:p w:rsidR="004D058D" w:rsidRDefault="004D058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564"/>
    <w:rsid w:val="002669A8"/>
    <w:rsid w:val="00266B7F"/>
    <w:rsid w:val="002A76E4"/>
    <w:rsid w:val="003A370F"/>
    <w:rsid w:val="003B2876"/>
    <w:rsid w:val="003D5940"/>
    <w:rsid w:val="003E2DCD"/>
    <w:rsid w:val="00477081"/>
    <w:rsid w:val="004D058D"/>
    <w:rsid w:val="0050389F"/>
    <w:rsid w:val="00580710"/>
    <w:rsid w:val="00600912"/>
    <w:rsid w:val="006968E9"/>
    <w:rsid w:val="00727962"/>
    <w:rsid w:val="007922DD"/>
    <w:rsid w:val="007B48E1"/>
    <w:rsid w:val="007D082E"/>
    <w:rsid w:val="007E1DC7"/>
    <w:rsid w:val="007F64E5"/>
    <w:rsid w:val="00800DB2"/>
    <w:rsid w:val="0089012B"/>
    <w:rsid w:val="008D3AFD"/>
    <w:rsid w:val="00945D93"/>
    <w:rsid w:val="00945FEE"/>
    <w:rsid w:val="009851CF"/>
    <w:rsid w:val="00A91666"/>
    <w:rsid w:val="00A97015"/>
    <w:rsid w:val="00AC79CB"/>
    <w:rsid w:val="00B00114"/>
    <w:rsid w:val="00B12536"/>
    <w:rsid w:val="00B75A83"/>
    <w:rsid w:val="00B91CCD"/>
    <w:rsid w:val="00CF3895"/>
    <w:rsid w:val="00DF34BB"/>
    <w:rsid w:val="00E60F3F"/>
    <w:rsid w:val="00FC4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
    <w:name w:val="Body Text"/>
    <w:basedOn w:val="Normln"/>
    <w:link w:val="ZkladntextChar"/>
    <w:rsid w:val="0058071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071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968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9690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Foltýnová Hana</cp:lastModifiedBy>
  <cp:revision>4</cp:revision>
  <cp:lastPrinted>2021-02-22T17:29:00Z</cp:lastPrinted>
  <dcterms:created xsi:type="dcterms:W3CDTF">2021-02-22T17:31:00Z</dcterms:created>
  <dcterms:modified xsi:type="dcterms:W3CDTF">2021-03-02T06:17:00Z</dcterms:modified>
</cp:coreProperties>
</file>